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EA" w:rsidRDefault="009A24EA" w:rsidP="00AC3FEB">
      <w:pPr>
        <w:bidi/>
        <w:spacing w:line="440" w:lineRule="exact"/>
        <w:rPr>
          <w:rFonts w:cs="B Titr"/>
        </w:rPr>
      </w:pPr>
      <w:r>
        <w:rPr>
          <w:rFonts w:cs="B Titr" w:hint="cs"/>
          <w:rtl/>
        </w:rPr>
        <w:t>بسمه تعالي</w:t>
      </w:r>
    </w:p>
    <w:tbl>
      <w:tblPr>
        <w:bidiVisual/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00"/>
        <w:gridCol w:w="795"/>
      </w:tblGrid>
      <w:tr w:rsidR="009A24EA" w:rsidTr="009A24EA">
        <w:trPr>
          <w:tblCellSpacing w:w="15" w:type="dxa"/>
          <w:jc w:val="center"/>
        </w:trPr>
        <w:tc>
          <w:tcPr>
            <w:tcW w:w="0" w:type="auto"/>
            <w:hideMark/>
          </w:tcPr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2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اساسنامه ........................................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مجمع عمومي امنا</w:t>
            </w:r>
          </w:p>
        </w:tc>
        <w:tc>
          <w:tcPr>
            <w:tcW w:w="750" w:type="dxa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</w:tr>
    </w:tbl>
    <w:p w:rsidR="009A24EA" w:rsidRDefault="009A24EA" w:rsidP="00AC3FEB">
      <w:pPr>
        <w:bidi/>
        <w:spacing w:after="0" w:line="440" w:lineRule="exact"/>
        <w:rPr>
          <w:rFonts w:ascii="Tahoma" w:eastAsia="Times New Roman" w:hAnsi="Tahoma" w:cs="B Zar"/>
          <w:b/>
          <w:bCs/>
          <w:vanish/>
          <w:color w:val="000000"/>
        </w:rPr>
      </w:pPr>
    </w:p>
    <w:tbl>
      <w:tblPr>
        <w:bidiVisual/>
        <w:tblW w:w="1082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31"/>
        <w:gridCol w:w="994"/>
      </w:tblGrid>
      <w:tr w:rsidR="009A24EA" w:rsidTr="00AC3FEB">
        <w:trPr>
          <w:tblCellSpacing w:w="15" w:type="dxa"/>
          <w:jc w:val="center"/>
        </w:trPr>
        <w:tc>
          <w:tcPr>
            <w:tcW w:w="9786" w:type="dxa"/>
          </w:tcPr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2"/>
              <w:rPr>
                <w:rFonts w:ascii="Tahoma" w:eastAsia="Times New Roman" w:hAnsi="Tahoma" w:cs="B Titr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فصل اول - كليات و اهداف</w:t>
            </w:r>
            <w:r>
              <w:rPr>
                <w:rFonts w:ascii="Tahoma" w:eastAsia="Times New Roman" w:hAnsi="Tahoma" w:cs="B Titr"/>
                <w:b/>
                <w:bCs/>
                <w:color w:val="000000"/>
              </w:rPr>
              <w:t xml:space="preserve"> :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1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نام سازمان مردم نهاد مورد نظر ..................... است كه در اين اساسنامه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به لحاظ رعايت اختصار " مركز " ناميده مي شود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2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نوع فعاليت: كليه فعاليتهاي مركز غيرسياسي و غيرانتفاعي غيردولتي بوده و در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موضوع ،با رعايت كامل قوانين و مقررات جمهوري اسلامي ايران و اين اساسنامه فعاليت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خواهد نمود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3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محدوده فعاليت مركز در سطح .......... است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4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محل : مركز اصلي مركز دراستان : - به نشاني : .....................................واقع است و در صورت لزوم مي تواند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پس از كسب مجوز از مرجع صدور پروانه برابر مقررات در ساير نقاط داخل يا خارج كشور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شعبه يا دفتر نمايندگي ايجاد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5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تابعيت : مركز تابعيت جمهوري اسلامي ايران را دارد و كليه اعضاي آن التزام خود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را به قانون اساسي جمهوري اسلامي ايران اعلام مي دارند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6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مدت فعاليت مركز از تاريخ تاسيس به مدت .......... مي باشد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7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lastRenderedPageBreak/>
              <w:t>دارايي اوليه مركز اعم از منقول و غيرمنقول مبلغ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0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ريال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مي‌باشد كه از سوي هيأت موسس تماماً پرداخت شده و در اختيار مركز قرار گرفته است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8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هيأت موسس مركز اشخاصي هستند كه براي تهيه مقدمات تشكيل قيام نموده‌ و بعد از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تأسيس تحت عنوان موسس مسووليتي نخواهند داشت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9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اهداف مركز عبارتند از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الف : كليات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..................................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ب : روش اجراي هدف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................................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2"/>
              <w:rPr>
                <w:rFonts w:ascii="Tahoma" w:eastAsia="Times New Roman" w:hAnsi="Tahoma"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sz w:val="24"/>
                <w:szCs w:val="24"/>
                <w:rtl/>
              </w:rPr>
              <w:t>فصل دوم : ساختار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10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اركان مركز عبارتند از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1-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مجمع عمومي 2- هيات مديره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3-بازرس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11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وظايف مجمع عمومي مؤسس: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1-انجام اقدامات اوليه براي تاسيس مركز؛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2- تهيه و طرح اساسنامه و تصويب آن؛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3- انتخاب اعضاء هيأت امنا؛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4-انتخاب اولين مديران و بازرسان.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تبصره 1: اكثريت لازم جهت تشكيل مجمع عمومي مؤسس در بار اول با حضور نصف بعلاوه يك اعضاء بوده و در صورت عدم حد نصاب اكثريت لازم، دربار دوم با حضور يك سوم اعضاء رسميت خواهد يافت.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تبصره 2: تصميمات مجمع عمومي مؤسس با اكثريت دو سوم آراء حاضرين با تاييد مرجع صدور پروانه و دستگاه تخصصي اتخاذ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lastRenderedPageBreak/>
              <w:t>و رسمي مي‌شود.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12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مجمع عمومي عادي متشكل از اعضاي هيات امنا بوده و عاليترين مرجع تصميم گيري است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كه به صورت عادي يا فوق العاده تشكيل مي شود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AC3FEB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تعداد اعضاي هيات امنا....... </w:t>
            </w:r>
            <w:bookmarkStart w:id="0" w:name="_GoBack"/>
            <w:bookmarkEnd w:id="0"/>
            <w:r w:rsidR="009A24EA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نفر مي باشد</w:t>
            </w:r>
            <w:r w:rsidR="009A24EA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13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چنانچه ادامه همكاري هر يك از اعضا هيات امنا به علل فوت ، عزل و يا استعفا غير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ممكن شود، هيات امنا شخص واجد شرايط و مورد اعتماد ديگري را با راي اكثريت نسبي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اعضا بعنوان عضو هيات امنا انتخاب مي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14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مجمع عمومي عادي هيات امنا 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....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ماه تشكيل خواهد شد . جلسه با حضور نصف به علاوه يك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اعضا در بار اول رسميت يافته و با حضور هر تعداد از اعضا در بار دوم تشكيل و رسمي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خواهد بود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تبصره 1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اكثريت لازم جهت اتخاذ تصميم مجمع عمومي عادي نصف به علاوه يك آرا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حاضرين در جلسه رسمي مجمع مي باشد مگر در خصوص انتخاب مديران يا بازرسان كه با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اكثريت نسبي خواهد بود. در صورتي كه در دعوت نخست، اكثريت حاصل نشد ، جلسه دوم به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فاصله حداقل 10(ده) روز تشكيل و با هر تعداد از اعضاي حاضر ، جلسه رسميت خواهد يافت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2- مجمع عمومي هيات امنا ممكن است به صورت فوق العاده در هر زمان به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تقاضاي هيات مديره يا بازرس (ها) يا يك ‌پنجم اعضاء هيات امنا در صورتي كه هيات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مديره يا بازرس ظرف مدت 20 روز به درخواست اعضا مبني بر تشكيل مجمع عمل ننمايد،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تشكيل مي گردد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3- دعوت براي مجمع عمومي عادي از طريق درج آگهي در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روزنامه كثيرالانتشار حداقل 10 روز و حداكثر 4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0 روز قبل از برگزاري مجمع یا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بصورت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دعوت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كتبي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</w:t>
            </w:r>
            <w:r w:rsidR="00AC3FEB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یا پیامکی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صورت مي‌پذيرد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4- روزنامه كثيرالانتشار براي درج آگهي‌ها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روزنامه 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...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مي‌باشد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15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وظايف مجمع عمومي عادي امنا: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1- انتخاب اعضاي هيات مديره و بازرسان (اصلي و علي البدل)؛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lastRenderedPageBreak/>
              <w:t>2- استماع و رسيدگي به گزارش هيات مديره و بازرس (ها)؛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3- تعيين خط مشي كلي مركز؛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4- بررسي و تصويب يا رد پيشنهادهاي هيات مديره؛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5- تعيين عضو جانشين هيات امنا؛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6- تصويب ترازنامه و بودجه مركز؛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7- تعيين روزنامه كثيرالانتشار جهت درج آگهي ها و دعوتنامه ها؛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8- عزل اعضاي امنا، هيات مديره و بازرسان.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16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مجمع عمومي فوق العاده با شرايط زير تشكيل خواهد شد: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1- با درخواست اكثريت اعضاي هيات مديره يا بازرس؛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2- با درخواست يك‌ پنجم اعضاي امنا.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تبصره 1- دعوت براي مجمع عمومي فوق العاده كتبي بوده و حداقل 10 (ده) روز قبل از تشكيل آن به اطلاع اعضا امنا خواهد رسيد .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تبصره 2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اكثريت لازم جهت تشكيل مجمع عمومي فوق العاده بار اول همان شرايط مجمع عمومي عادي مي باشد و در بار دوم با حضور بيش از يك سوم اعضاي امنا تشكيل مي‌گردد.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تبصره 3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تصميمات مجمع عمومي فوق‌العاده با تصويب دو سوم اعضاي حاضر در جلسه معتبر خواهد بود .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17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وظايف مجمع عمومي فوق‌العاده :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1- تصويب تغييرات اساسنامه؛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2- بررسي و تصويب يا رد انحلال مركز؛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3- تغيير در ميزان سرمايه؛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4- انحلال قبل از موعد؛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5- هرگونه تغيير در ماهيت.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18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جلسات مجامع عمومي امنا توسط هيات رئيسه‌اي مركب از يك رئيس، يك منشي و دو ناظر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اداره مي‌شوند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1- اعضاي هيات رئيسه نبايد از بين كانديداهاي هيات مديره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و بازرسان باشند و با اعلام قبولي نامزدي خود در مجمع عمومي، انتخاب خواهند شد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lastRenderedPageBreak/>
              <w:t xml:space="preserve">تبصره 2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رئيس هيات مديره‌ ، رئيس هيات رئيسه مجمع عمومي خواهد بود مگر اينكه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موضوع عزل يا انتخاب هيات مديره باشد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19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هيات مديره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مركز داراي هيات مديره اي مركب از 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.....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نفر عضو اصلي و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.......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نفر عضو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علي‌البدل خواهد بود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1- جلسات هيات مديره با حضور بيش از نصف اعضا رسميت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يافته و تصميمات متخذه با اكثريت آرا حاضرين معتبر خواهد بود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تبصره 2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شركت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اعضاي هيات مديره در جلسات آن ضروريست و غيبت هر يك از اعضا بدون عذر موجه و بدون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اطلاع قبلي تا جلسه متوالي يا جلسه متناوب در حكم استعفاي عضو غايب خواهد بود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تبصره 3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دعوت از اعضاي هيات مديره بايد حداقل روز قبل از تشكيل جلسه به صورت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قانوني انجام پذيرد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20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در صورت استعفا يا فوت يا سلب شرايط از هر يك از اعضاي هيات مديره يا بازرس عضو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علي‌البدل براي مدت باقيمانده هيات مديره يا بازرسي بجاي عضو اصلي انجام وظيفه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خواهد نمود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در صورتيكه تعداد هيات مديره يا بازرس به هر دليل كمتر از تعداد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اعضاء اصلي شود و ورود اعضاء علي البدل نيز موجب تكميل آن نشود مجمع عمومي حسب مورد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به صورت عادي يا به صورت فوق العاده جهت تكميل تعداد باقيمانده اعضا برگزار خواهد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گرديد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21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هيات مديره علاوه بر جلساتي كه بطور مرتب و حداقل هر ماه بار تشكيل مي‌گردد بنا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به ضرورت با دعوت كتبي يا تلفني رئيس يا نايب رئيس تشكيل جلسه فوق العاده خواهد داد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تبصره: نحوه تشكيل جلسه فوق‌العاده بموجب آئين‌نامه داخلي است كه به تصويب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هيأت مديره خواهد رسيد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22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اعضاي هيات مديره در اولين جلسه اي كه بعد از انتخاب شدن تشكيل مي دهند از بين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خود يك نفر رئيس و يك نفر نايب رئيس و يك نفر خزانه دار انتخاب خواهند نمود ، حدود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اختيارات آنها را اساسنامه يا آيين نامه‌‌اي كه به تصويب مجمع عمومي امنا خواهد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رسيد مشخص مي‌نمايد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lastRenderedPageBreak/>
              <w:t>تبصره 1- هيات مديره در هر موقع مي تواند افراد فوق الذكر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را از سمت هاي مذكور عزل كند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2- هيات مديره در صورت لزوم مي تواند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سمتهاي ديگري براي ساير اعضا هيات مديره تعريف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23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هيات مديره براي مدت 2 سال انتخاب خواهند شد . انتخاب مجدد هيات مديره براي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دوره‌هاي بعدي بلامانع بوده همچنين هيات مديره موظف است حداكثر 3 ماه قبل از پايان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تصدي خود از مجمع عمومي عادي امنا به منظور انتخابات هيات مديره جديد دعوت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هيات مديره قبل از درج آگهي موظف است دستور و زمان برگزاري مجمع را به تائيد مرجع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صدور پروانه برساند و حداقل ده روز قبل از پايان تصدي خود نتيجه انتخابات را به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مراجع ذي ربط و ذي صلاح اعلام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24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هيات مديره نماينده قانوني مركز بوده و وظايف و اختيارات آن در چارچوب اساسنامه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بشرح ذيل مي باشد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حفظ و حراست اموال منقول و غير منقول ، رسيدگي به حسابها ،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پرداخت ديون و وصول مطالبات ، اجراي مصوبات مجامع عمومي ، افتتاح حساب در بانكها طي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انجام تشريفات قانوني ، تعقيب جريانات قضائي و اداري و ثبتي در كليه مراحل قانوني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در محاكم ، تعيين حكم و تعيين وكيل و عزل آن ، قطع و فصل دعاوي از طريق سازش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(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مصالحه ) و در صورت اقتضاء تفويض و واگذاري تمام يا قسمتي از اختيارات خود به هر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شخص ديگر اعم از حقوقي يا حقيقي با حق توكيل و ساير وظايفي كه بر اساس اساسنامه به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هيات مديره واگذار گرديده. به طور كلي هيات مديره مي تواند هر اقدام و معامله اي را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كه ضروري بداند در مورد نقل و انتقال اموال منقول كه مستلزم تصويب مجمع عمومي مي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باشد پس از تصويب مجمع به نام مركز انجام دهد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جز درباره موضوعاتي كه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به موجب مفاد اين اساسنامه اخذ تصميم و اقدام درباره آنها در صلاحيت خاص هيات امنا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است ، هيات مديره كليه اختيارات لازم براي اداره امور مشروط به رعايت حدود اهداف و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اساسنامه را دارا مي باشد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هيات مديره پس از تصويب مي‌تواند در انجام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معاملات و يا پرداخت هزينه‌هاي جاري مركز تا مبلغ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ريال بدون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تصويب مجمع عمومي رأساً اقدام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25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مجمع عمومي عادي امنا 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.....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نفر را بعنوان بازرس اصلي و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......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نفر را بعنوان بازرس علي‌البدل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براي مدت يكسال انتخاب خواهد نمود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26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هيأت مديره از بين خود يا خارج يك نفر را به سمت مديرعامل انتخاب نموده و حدود اختيارات و مدت تصدي و حق الزحمه او را تعيين مي‌نمايد .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تبصره : مديرعامل نمي تواند درعين حال رئيس هيأت مديره باشد مگر با تصويب سه چهارم آراء حاضرين اعضاي مجمع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lastRenderedPageBreak/>
              <w:t xml:space="preserve">عمومي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27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بازرس مي تواند در هر موقع هر گونه رسيدگي و بازرسي را در مورد عمليات مركز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انجام داده و اسناد و مدارك و اطلاعات مربوطه را مطالبه كرده و مورد رسيدگي قرار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دهد و در صورت لزوم تقاضاي تشكيل جلسه فوق العاده مجمع عمومي را بنمايد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28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هيأت مديره و بازرسان تا زمانيكه جانشين آنها از سوي مجمع عمومي انتخاب نشده اند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در مسئوليت خود باقي خواهند بود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29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اشخاص ذيل نمي توانند بعنوان بازرس انتخاب شوند: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1- كساني كه به علت ارتكاب جرم و به موجب حكم قطعي دادگاه از حقوق اجتماعي كلاً و يا بعضاً محروم شده باشند؛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2- مديران و مدير عامل؛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3- اقرباي سببي و نسبي مديران و مدير عامل تا درجه سوم از طبقه اول و دوم؛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4- همسر اشخاص مذكور دربند2.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تبصره :انتخاب مجدد بازرسان بلا مانع است.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30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وظايف بازرس بشرح ذيل است :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1- بررسي كليه اسناد و اوراق مالي و تهيه گزارش براي مجمع عمومي امنا؛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2- مطالعه گزارش سالانه هيات مديره اعم از مالي و غير مالي و تهيه گزارش عملكرد براي اطلاع مجمع عمومي؛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3- گزارش هر گونه تخلف هيات مديره از مفاد اساسنامه به مجمع عمومي امنا؛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4- اظهار نظر كتبي درباره صحت صورت دارايي ، عملكرد و مطالب و اطلاعاتي كه هيات مديره و مديران در اختيار مجمع عمومي گذاشته اند؛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5- ساير وظايفي كه اساسنامه و قوانين و مقررات موضوعه به عهده بازرس قرار داده است.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تبصره: بازرس مي تواند بدون داشتن حق راي در جلسات هيات مديره شركت نمايد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31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مديرعامل بالاترين مقام اجرايي مركز است و در حدود اختياراتي كه از طرف هيأت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مديره و اساسنامه به وي تفويض مي گردد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lastRenderedPageBreak/>
              <w:t>نماينده مركز محسوب شده و از طرف مركز .حق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امضا دارد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تبصره1: عزل مدير عامل از اختيارات هيأت مديره مي باشد كه بايد مستند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و مدلل باشد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2- اگر مديرعامل عضو هيات مديره باشد دوره مديريت عاملي او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از مدت عضويتش در هيأت مديره بيشتر نخواهد بود، ليكن انتخاب مجدد او طبق مقررات اين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اساسنامه بلامانع مي باشد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3- كليه اسناد و اوراق بهادار و تعهدآور با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امضاي مدير عامل و خزانه دار و در غياب خزانه دار با امضاي رئيس هيأت مديره و با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مهر مركز معتبر خواهد بود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32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مديرعامل مجري مصوبات مجمع عمومي و هيأت مديره بوده و داراي اختيارات و مسئوليتهاي ذيل مي باشد :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1- نمايندگي قانوني در مراجع رسمي و نهادها و در برابر اشخاص حقيقي و حقوقي؛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2- استخدام و عزل و نصب كاركنان در حدود ضوابط و مصوبات و با تصويب هيات مديره؛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3- نگهداري دارايي ، اموال ، حسابها ، اسناد و دفاتر 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4- اعمال اختياراتي كه بصورت موردي يا مقطعي از جانب هيأت مديره به وي تفويض شده باشد؛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5- ارائه پيشنهادهاي لازم در زمينه گسترش ، بهبود و هماهنگي در فعاليتهاي مركز به هيأت مديره جهت ارائه به مجمع عمومي؛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6- تهيه پيش نويس ترازنامه، بودجه، خط مشي و گزارش ساليانه جهت بررسي هيأت مديره و ارسال به مجمع عمومي؛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7- تهيه پيش نويس آئين نامه هاي مورد لزوم جهت طرح و تصميم گيري در هيأت مديره؛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8- نظارت و ايجاد هماهنگي در فعاليت شعب ، نمايندگي ها و دفاتر؛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>9- پيشنهاد برگزاري جلسه مجمع عمومي فوق العاده با ذكر علل موجه براي تصويب به هيأت مديره؛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br/>
              <w:t xml:space="preserve">10- انجام ساير وظايف و اختياراتي كه طبق اساسنامه و قوانين و مقررات مربوطه به مديرعامل محول شده يا بشود.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33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حقوق و مزاياي مديرعامل بوسيله هيأت مديره تعيين مي شود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در صورتيكه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مديرعامل از اعضاي هيأت مديره نباشد بدون داشتن حق راي مي تواند در جلسات هيأت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مديره شركت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34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مدت ماموريت مديرعامل از مدت ماموريت هيأت مديره تجاوز نخواهد كرد و تغيير يا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تجديد انتخاب او نيز بلامانع است به هر صورت مديرعامل در صورت انقضا مدت ماموريت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موظف است تا تعيين جانشين وظايف محوله را انجام دهد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فصل سوم : بودجه و مواد متفرقه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lastRenderedPageBreak/>
              <w:t>ماده 35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بودجه مركز از طريق ذيل تأمين مي‌شود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الف) هديه، اعانه و هبه اشخاص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حقيقي و حقوقي اعم از داخلي و خارجي و دولتي و غيردولتي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ب) وقف و حبس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پ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)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وجوه حاصل از فعاليتهاي انجام شده در چارچوب موضوع فعاليت، اهداف و اساسنامه سازمان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و اين آئين‌نامه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36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درآمد و هزينه هاي مركز در دفاتر قانوني ثبت و شرح بيلان آن حداكثر تا دو ماه پس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از پايان هر سال مالي به مراجع ذيربط ارايه خواهد شد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1- هيأت مديره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مكلف است كليه درآمدهاي حاصله سالانه را مطابق اساسنامه صرف اهداف و وظايف نمايد و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چنانچه وجوهي مازاد بر هزينه هاي مركز موجود است در حساب مخصوصي بنام مركز نزد يكي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از بانكهاي رسمي ايران نگهداري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2- سال مالي مركز منطبق با سال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شمسي بوده و همواره به پايان ماه ختم مي‌شود به استثناء سال مالي اول كه از بدو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تاسيس لغايت اسفندماه همان سال خواهد بود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3- مكاتبات رسمي مركز با امضاي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مدير عامل صورت مي‌پذيرد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4-كليه مدارك ، پرونده ها و مكاتبات در دفتر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مركزي نگهداري مي شود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مصوبات و صورتجلسات هيأت مديره در دفاتر مخصوص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بترتيب تاريخ ثبت و به امضاي اعضاي ذيربط خواهد رسيد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37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هيأت مديره مكلف است هر گونه تغيير يا اصلاح اساسنامه را به مرجع صادر كننده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پروانه فعاليت اعلام نمايد و در صورت موافقت مرجع صدور پروانه به تصويب مجمع عمومي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رسانده و نتيجه آن را براي انجام تشريفات اداري ثبت، به مرجع صدور پروانه اعلام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38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هيأت مديره مكلف است محل مركز و تغييرات بعدي آن را به مرجع صادر كننده پروانه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فعاليت اعلام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39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مركز داراي سربرگ، مهر و يا آرم مخصوص خواهد بود كه متن آن با تصويب هيأت مديره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و برابر مقررات تهيه خواهد شد . هيأت مديره مكلف است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نمونه سربرگ، مهر و آرم تهيه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شده را به مرجع صادر كننده پروانه فعاليت و ثبت شركتها ارسال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lastRenderedPageBreak/>
              <w:t>تبصره- هيأت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مديره در حفظ و حراست از مهر و آرم مسؤليت قانوني دارد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40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انحلال : در صورت انحلال مركز مجمع عمومي فوق العاده حداقل 3 نفر را بعنوان هيات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تصفيه انتخاب و اين هيات موظف خواهد بود پس از رسيدگي به حسابها و تصفيه بدهي ها و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وصول مطالبات باقيمانده و تعيين دارايي مسلم اعم از منقول و غير منقول دارايي مركز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را به تصويب مجمع عمومي فوق العاده برساند. هيات مذكور موظف است نتيجه را به مرجع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صادر كننده پروانه فعاليت ارائه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1: مجمع عمومي فوق‌العاده موظف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است دارايي سازمان را پس از انحلال كه با نظارت مرجع صدور پروانه به يكي از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سازمانهاي مردم‌نهاد با موضوع فعاليت مشابه تعيين مي‌گردد، واگذار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2-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تصفيه امور مربوط بر طبق مفاد اساسنامه و قوانين موضوعه صورت خواهد پذيرفت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3- هيات تصفيه از بين خود يك نفر را بعنوان مدير تصفيه انتخاب مي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تبصره 4- مدير تصفيه موظف است يك نسخه از گزارش را به مرجع صدور پروانه و ثبت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شركتها ارائه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41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چنانچه فعاليتهاي مندرج در اهداف اين اساسنامه نيازمند كسب مجوز خاص از ساير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دستگاه هاي دولتي باشد، مركز موظف است نسبت به كسب مجوز مورد نظر اقدام نمايد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42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مواردي كه در اين اساسنامه پيش بيني نشده است بر اساس آئين‌نامه ذيربط تأسيس و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فعاليت سازمانهاي مردم‌نهاد و عمومات قانون تجارت عمل خواهد شد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ماده 43</w:t>
            </w:r>
          </w:p>
          <w:p w:rsidR="009A24EA" w:rsidRDefault="009A24EA" w:rsidP="00AC3FEB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اين اساسنامه مشتمل بر 3 فصل و 43 ماده و 35 تبصره در نشست مورخ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........................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مجمع عمومي موسس به تصويب رسيد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</w:tc>
        <w:tc>
          <w:tcPr>
            <w:tcW w:w="949" w:type="dxa"/>
            <w:hideMark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lastRenderedPageBreak/>
              <w:t>محل امضاء</w:t>
            </w:r>
          </w:p>
        </w:tc>
      </w:tr>
    </w:tbl>
    <w:p w:rsidR="009A24EA" w:rsidRDefault="0016227F" w:rsidP="00AC3FEB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  <w:r>
        <w:rPr>
          <w:rFonts w:ascii="Tahoma" w:eastAsia="Times New Roman" w:hAnsi="Tahoma" w:cs="B Zar"/>
          <w:b/>
          <w:bCs/>
          <w:vanish/>
          <w:color w:val="000000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tbl>
      <w:tblPr>
        <w:bidiVisual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23"/>
        <w:gridCol w:w="4924"/>
      </w:tblGrid>
      <w:tr w:rsidR="009A24EA" w:rsidTr="009A24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ليست </w:t>
            </w:r>
            <w:r w:rsidR="00DE32B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موسسین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</w:t>
            </w:r>
            <w:r w:rsidR="00AC3FEB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تشکل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جهت امضاء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</w:p>
        </w:tc>
      </w:tr>
      <w:tr w:rsidR="009A24EA" w:rsidTr="009A24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</w:tr>
      <w:tr w:rsidR="009A24EA" w:rsidTr="009A24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</w:tr>
      <w:tr w:rsidR="009A24EA" w:rsidTr="009A24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</w:tr>
      <w:tr w:rsidR="009A24EA" w:rsidTr="009A24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</w:tr>
    </w:tbl>
    <w:p w:rsidR="009A24EA" w:rsidRDefault="009A24EA" w:rsidP="00AC3FEB">
      <w:pPr>
        <w:bidi/>
        <w:spacing w:after="0" w:line="440" w:lineRule="exact"/>
        <w:rPr>
          <w:rFonts w:ascii="Tahoma" w:eastAsia="Times New Roman" w:hAnsi="Tahoma" w:cs="B Zar"/>
          <w:b/>
          <w:bCs/>
          <w:vanish/>
          <w:color w:val="000000"/>
        </w:rPr>
      </w:pPr>
    </w:p>
    <w:tbl>
      <w:tblPr>
        <w:bidiVisual/>
        <w:tblW w:w="4985" w:type="pct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35"/>
        <w:gridCol w:w="5915"/>
        <w:gridCol w:w="3037"/>
      </w:tblGrid>
      <w:tr w:rsidR="009A24EA" w:rsidTr="00AC3FEB">
        <w:trPr>
          <w:tblCellSpacing w:w="15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محل امضا</w:t>
            </w:r>
          </w:p>
        </w:tc>
      </w:tr>
      <w:tr w:rsidR="009A24EA" w:rsidTr="00AC3FEB">
        <w:trPr>
          <w:trHeight w:val="750"/>
          <w:tblCellSpacing w:w="15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</w:tr>
      <w:tr w:rsidR="009A24EA" w:rsidTr="00AC3FEB">
        <w:trPr>
          <w:trHeight w:val="750"/>
          <w:tblCellSpacing w:w="15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</w:tr>
      <w:tr w:rsidR="009A24EA" w:rsidTr="00AC3FEB">
        <w:trPr>
          <w:trHeight w:val="750"/>
          <w:tblCellSpacing w:w="15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</w:tr>
      <w:tr w:rsidR="009A24EA" w:rsidTr="00AC3FEB">
        <w:trPr>
          <w:trHeight w:val="750"/>
          <w:tblCellSpacing w:w="15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</w:tr>
      <w:tr w:rsidR="009A24EA" w:rsidTr="00AC3FEB">
        <w:trPr>
          <w:trHeight w:val="750"/>
          <w:tblCellSpacing w:w="15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EA" w:rsidRDefault="009A24EA" w:rsidP="00AC3FEB">
            <w:pPr>
              <w:bidi/>
              <w:spacing w:after="0"/>
              <w:rPr>
                <w:rFonts w:cs="Times New Roman"/>
              </w:rPr>
            </w:pPr>
          </w:p>
        </w:tc>
      </w:tr>
      <w:tr w:rsidR="009A24EA" w:rsidTr="00AC3FEB">
        <w:trPr>
          <w:trHeight w:val="750"/>
          <w:tblCellSpacing w:w="15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9A24EA" w:rsidTr="00AC3FEB">
        <w:trPr>
          <w:trHeight w:val="750"/>
          <w:tblCellSpacing w:w="15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9A24EA" w:rsidTr="00AC3FEB">
        <w:trPr>
          <w:trHeight w:val="750"/>
          <w:tblCellSpacing w:w="15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9A24EA" w:rsidTr="00AC3FEB">
        <w:trPr>
          <w:trHeight w:val="750"/>
          <w:tblCellSpacing w:w="15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4EA" w:rsidRDefault="009A24EA" w:rsidP="00AC3FEB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</w:tbl>
    <w:p w:rsidR="009A24EA" w:rsidRDefault="009A24EA" w:rsidP="00AC3FEB">
      <w:pPr>
        <w:bidi/>
        <w:spacing w:line="440" w:lineRule="exact"/>
        <w:rPr>
          <w:rFonts w:cs="B Zar"/>
          <w:b/>
          <w:bCs/>
        </w:rPr>
      </w:pPr>
    </w:p>
    <w:p w:rsidR="008E3B24" w:rsidRDefault="008E3B24" w:rsidP="00AC3FEB"/>
    <w:sectPr w:rsidR="008E3B24" w:rsidSect="00DE32BF">
      <w:pgSz w:w="11906" w:h="16838"/>
      <w:pgMar w:top="1440" w:right="1440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18B4"/>
    <w:multiLevelType w:val="hybridMultilevel"/>
    <w:tmpl w:val="AF3E8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A24EA"/>
    <w:rsid w:val="0016227F"/>
    <w:rsid w:val="00180142"/>
    <w:rsid w:val="002731A9"/>
    <w:rsid w:val="00326E1B"/>
    <w:rsid w:val="00327EB9"/>
    <w:rsid w:val="008115F7"/>
    <w:rsid w:val="008E3B24"/>
    <w:rsid w:val="009A24EA"/>
    <w:rsid w:val="00AC3FEB"/>
    <w:rsid w:val="00B31031"/>
    <w:rsid w:val="00BB1FB9"/>
    <w:rsid w:val="00DB01ED"/>
    <w:rsid w:val="00D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EB229E"/>
  <w15:docId w15:val="{992D04EA-0FC2-46D5-B0D4-F95140C9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4E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A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2149</Words>
  <Characters>12253</Characters>
  <Application>Microsoft Office Word</Application>
  <DocSecurity>0</DocSecurity>
  <Lines>102</Lines>
  <Paragraphs>28</Paragraphs>
  <ScaleCrop>false</ScaleCrop>
  <Company>METRO</Company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somayeh akbarnezhad</cp:lastModifiedBy>
  <cp:revision>4</cp:revision>
  <dcterms:created xsi:type="dcterms:W3CDTF">2001-12-31T20:56:00Z</dcterms:created>
  <dcterms:modified xsi:type="dcterms:W3CDTF">2020-08-17T08:08:00Z</dcterms:modified>
</cp:coreProperties>
</file>